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Override PartName="/word/footnotes.xml" ContentType="application/vnd.openxmlformats-officedocument.wordprocessingml.footnot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360" w:line="259" w:lineRule="auto"/>
        <w:ind w:left="0" w:firstLine="0"/>
      </w:pPr>
      <w:r>
        <w:rPr>
          <w:rFonts w:ascii="Times New Roman" w:hAnsi="Times New Roman"/>
          <w:b/>
          <w:i w:val="0"/>
          <w:color w:val="14283E"/>
          <w:sz w:val="24"/>
        </w:rPr>
        <w:t>[BUYER'S LETTERHEAD]</w:t>
      </w:r>
    </w:p>
    <w:p>
      <w:pPr>
        <w:spacing w:before="0" w:after="320" w:line="259" w:lineRule="auto"/>
        <w:ind w:left="0" w:firstLine="0"/>
      </w:pPr>
      <w:r>
        <w:rPr>
          <w:rFonts w:ascii="Times New Roman" w:hAnsi="Times New Roman"/>
          <w:b w:val="0"/>
          <w:i w:val="0"/>
          <w:color w:val="000000"/>
          <w:sz w:val="22"/>
        </w:rPr>
        <w:t>[DATE]</w:t>
      </w:r>
    </w:p>
    <w:p>
      <w:pPr>
        <w:spacing w:before="0" w:after="80" w:line="259" w:lineRule="auto"/>
        <w:ind w:left="0" w:firstLine="0"/>
      </w:pPr>
      <w:r>
        <w:rPr>
          <w:rFonts w:ascii="Times New Roman" w:hAnsi="Times New Roman"/>
          <w:b/>
          <w:i w:val="0"/>
          <w:color w:val="000000"/>
          <w:sz w:val="22"/>
        </w:rPr>
        <w:t>VIA EMAIL</w:t>
      </w:r>
    </w:p>
    <w:p>
      <w:pPr>
        <w:spacing w:before="0" w:after="280" w:line="259" w:lineRule="auto"/>
        <w:ind w:left="0" w:firstLine="0"/>
      </w:pPr>
      <w:r>
        <w:rPr>
          <w:rFonts w:ascii="Times New Roman" w:hAnsi="Times New Roman"/>
          <w:b w:val="0"/>
          <w:i w:val="0"/>
          <w:color w:val="000000"/>
          <w:sz w:val="22"/>
        </w:rPr>
        <w:t>[SELLER LEGAL NAME]</w:t>
        <w:br/>
        <w:t>[SELLER ADDRESS]</w:t>
        <w:br/>
        <w:t>Attention: [NAME AND TITLE]</w:t>
      </w:r>
    </w:p>
    <w:p>
      <w:pPr>
        <w:spacing w:before="0" w:after="280" w:line="259" w:lineRule="auto"/>
        <w:ind w:left="0" w:firstLine="0"/>
      </w:pPr>
      <w:r>
        <w:rPr>
          <w:rFonts w:ascii="Times New Roman" w:hAnsi="Times New Roman"/>
          <w:b/>
          <w:i w:val="0"/>
          <w:color w:val="000000"/>
          <w:sz w:val="22"/>
        </w:rPr>
        <w:t>Re: Proposed Acquisition of the Assets of [TARGET COMPANY]</w:t>
      </w:r>
    </w:p>
    <w:p>
      <w:pPr>
        <w:spacing w:before="0" w:after="200" w:line="259" w:lineRule="auto"/>
        <w:ind w:left="0" w:firstLine="0"/>
      </w:pPr>
      <w:r>
        <w:rPr>
          <w:rFonts w:ascii="Times New Roman" w:hAnsi="Times New Roman"/>
          <w:b w:val="0"/>
          <w:i w:val="0"/>
          <w:color w:val="000000"/>
          <w:sz w:val="22"/>
        </w:rPr>
        <w:t>Dear [NAME]:</w:t>
      </w:r>
    </w:p>
    <w:p>
      <w:pPr>
        <w:spacing w:before="0" w:after="140" w:line="259" w:lineRule="auto"/>
        <w:ind w:left="0" w:firstLine="0"/>
      </w:pPr>
      <w:r>
        <w:rPr>
          <w:rFonts w:ascii="Times New Roman" w:hAnsi="Times New Roman"/>
          <w:b w:val="0"/>
          <w:i w:val="0"/>
          <w:color w:val="000000"/>
          <w:sz w:val="22"/>
        </w:rPr>
        <w:t>This nonbinding letter of intent (this “Letter”) summarizes the principal terms on which [BUYER LEGAL NAME], or an affiliate formed or designated by it (“Buyer”), proposes to acquire substantially all of the assets used in the operation of [DESCRIPTION OF BUSINESS] (the “Business”) from [SELLER LEGAL NAME] (“Seller”). Seller is owned by [PRINCIPAL OR OWNERS] (collectively, the “Owners”). The proposed acquisition is referred to as the “Transaction.” Except for the provisions expressly identified as binding, this Letter is intended as a basis for further negotiation and does not obligate either party to consummate the Transaction.</w:t>
      </w:r>
    </w:p>
    <w:p>
      <w:pPr>
        <w:keepNext w:val="0"/>
        <w:spacing w:before="200" w:after="100"/>
        <w:ind w:left="0" w:firstLine="0"/>
      </w:pPr>
      <w:r>
        <w:rPr>
          <w:rFonts w:ascii="Times New Roman" w:hAnsi="Times New Roman"/>
          <w:b/>
          <w:i w:val="0"/>
          <w:color w:val="000000"/>
          <w:sz w:val="22"/>
        </w:rPr>
        <w:t>1.  Acquisition of Assets and Liabilities.</w:t>
      </w:r>
      <w:r>
        <w:rPr>
          <w:rFonts w:ascii="Times New Roman" w:hAnsi="Times New Roman"/>
          <w:b w:val="0"/>
          <w:i w:val="0"/>
          <w:color w:val="000000"/>
          <w:sz w:val="22"/>
        </w:rPr>
        <w:t xml:space="preserve">  Subject to the conditions stated in this Letter, at the closing of the Transaction (the “Closing”), Buyer will acquire the assets described below, free and clear of all liens other than liens expressly accepted by Buyer.</w:t>
      </w:r>
    </w:p>
    <w:p>
      <w:pPr>
        <w:spacing w:after="120" w:line="259" w:lineRule="auto"/>
        <w:ind w:left="691" w:hanging="403"/>
      </w:pPr>
      <w:r>
        <w:rPr>
          <w:rFonts w:ascii="Times New Roman" w:hAnsi="Times New Roman"/>
          <w:b w:val="0"/>
          <w:i w:val="0"/>
          <w:color w:val="000000"/>
          <w:sz w:val="22"/>
        </w:rPr>
        <w:t>(a)</w:t>
      </w:r>
      <w:r>
        <w:rPr>
          <w:rFonts w:ascii="Times New Roman" w:hAnsi="Times New Roman"/>
          <w:b w:val="0"/>
          <w:i w:val="0"/>
          <w:color w:val="000000"/>
          <w:sz w:val="22"/>
        </w:rPr>
        <w:t xml:space="preserve">  The acquired assets will include substantially all assets used primarily in the Business, including customer and vendor contracts, intellectual property, data, telephone numbers, websites and social accounts, inventory, work in process, equipment, transferable permits, deposits, prepaid expenses, books and records, goodwill, warranty rights, and the assets listed on Schedule 1 (the “Acquired Assets”).</w:t>
      </w:r>
    </w:p>
    <w:p>
      <w:pPr>
        <w:spacing w:after="120" w:line="259" w:lineRule="auto"/>
        <w:ind w:left="691" w:hanging="403"/>
      </w:pPr>
      <w:r>
        <w:rPr>
          <w:rFonts w:ascii="Times New Roman" w:hAnsi="Times New Roman"/>
          <w:b w:val="0"/>
          <w:i w:val="0"/>
          <w:color w:val="000000"/>
          <w:sz w:val="22"/>
        </w:rPr>
        <w:t>(b)</w:t>
      </w:r>
      <w:r>
        <w:rPr>
          <w:rFonts w:ascii="Times New Roman" w:hAnsi="Times New Roman"/>
          <w:b w:val="0"/>
          <w:i w:val="0"/>
          <w:color w:val="000000"/>
          <w:sz w:val="22"/>
        </w:rPr>
        <w:t xml:space="preserve">  The Acquired Assets will exclude cash and cash equivalents, [accounts receivable], tax refunds attributable to pre-Closing periods, Seller's entity records, employee benefit plans, and the assets listed on Schedule 2 (the “Excluded Assets”).</w:t>
      </w:r>
    </w:p>
    <w:p>
      <w:pPr>
        <w:spacing w:after="120" w:line="259" w:lineRule="auto"/>
        <w:ind w:left="691" w:hanging="403"/>
      </w:pPr>
      <w:r>
        <w:rPr>
          <w:rFonts w:ascii="Times New Roman" w:hAnsi="Times New Roman"/>
          <w:b w:val="0"/>
          <w:i w:val="0"/>
          <w:color w:val="000000"/>
          <w:sz w:val="22"/>
        </w:rPr>
        <w:t>(c)</w:t>
      </w:r>
      <w:r>
        <w:rPr>
          <w:rFonts w:ascii="Times New Roman" w:hAnsi="Times New Roman"/>
          <w:b w:val="0"/>
          <w:i w:val="0"/>
          <w:color w:val="000000"/>
          <w:sz w:val="22"/>
        </w:rPr>
        <w:t xml:space="preserve">  Buyer will assume only the executory obligations first arising after Closing under assigned contracts and the liabilities expressly listed on Schedule 3 (the “Assumed Liabilities”). Seller will retain all other liabilities, including indebtedness, taxes, transaction expenses, pre-Closing employee obligations, liabilities arising from operation of the Business before Closing, and the liabilities listed on Schedule 4 (the “Excluded Liabilities”).</w:t>
      </w:r>
      <w:r>
        <w:footnoteReference w:id="1"/>
      </w:r>
    </w:p>
    <w:p>
      <w:pPr>
        <w:keepNext w:val="0"/>
        <w:spacing w:before="200" w:after="100"/>
        <w:ind w:left="0" w:firstLine="0"/>
      </w:pPr>
      <w:r>
        <w:rPr>
          <w:rFonts w:ascii="Times New Roman" w:hAnsi="Times New Roman"/>
          <w:b/>
          <w:i w:val="0"/>
          <w:color w:val="000000"/>
          <w:sz w:val="22"/>
        </w:rPr>
        <w:t>2.  Purchase Price.</w:t>
      </w:r>
      <w:r>
        <w:rPr>
          <w:rFonts w:ascii="Times New Roman" w:hAnsi="Times New Roman"/>
          <w:b w:val="0"/>
          <w:i w:val="0"/>
          <w:color w:val="000000"/>
          <w:sz w:val="22"/>
        </w:rPr>
        <w:t xml:space="preserve">  The aggregate purchase price will be $[AMOUNT] (the “Purchase Price”), calculated on a cash-free, debt-free basis and subject to adjustment for indebtedness, Seller transaction expenses, working capital, inventory, customer deposits, deferred revenue, and the other items stated below.</w:t>
      </w:r>
    </w:p>
    <w:p>
      <w:pPr>
        <w:spacing w:after="120" w:line="259" w:lineRule="auto"/>
        <w:ind w:left="691" w:hanging="403"/>
      </w:pPr>
      <w:r>
        <w:rPr>
          <w:rFonts w:ascii="Times New Roman" w:hAnsi="Times New Roman"/>
          <w:b w:val="0"/>
          <w:i w:val="0"/>
          <w:color w:val="000000"/>
          <w:sz w:val="22"/>
        </w:rPr>
        <w:t>(a)</w:t>
      </w:r>
      <w:r>
        <w:rPr>
          <w:rFonts w:ascii="Times New Roman" w:hAnsi="Times New Roman"/>
          <w:b w:val="0"/>
          <w:i w:val="0"/>
          <w:color w:val="000000"/>
          <w:sz w:val="22"/>
        </w:rPr>
        <w:t xml:space="preserve">  $[AMOUNT] will be paid in immediately available funds at Closing.</w:t>
      </w:r>
    </w:p>
    <w:p>
      <w:pPr>
        <w:spacing w:after="120" w:line="259" w:lineRule="auto"/>
        <w:ind w:left="691" w:hanging="403"/>
      </w:pPr>
      <w:r>
        <w:rPr>
          <w:rFonts w:ascii="Times New Roman" w:hAnsi="Times New Roman"/>
          <w:b w:val="0"/>
          <w:i w:val="0"/>
          <w:color w:val="000000"/>
          <w:sz w:val="22"/>
        </w:rPr>
        <w:t>(b)</w:t>
      </w:r>
      <w:r>
        <w:rPr>
          <w:rFonts w:ascii="Times New Roman" w:hAnsi="Times New Roman"/>
          <w:b w:val="0"/>
          <w:i w:val="0"/>
          <w:color w:val="000000"/>
          <w:sz w:val="22"/>
        </w:rPr>
        <w:t xml:space="preserve">  [OPTIONAL] Buyer will issue Seller a promissory note in the original principal amount of $[AMOUNT], bearing interest at [RATE]% per year and maturing [TERM] after Closing (the “Seller Note”). The Seller Note will be subject to lender-required standby, subordination, and intercreditor terms and may be offset by finally determined indemnification claims.</w:t>
      </w:r>
      <w:r>
        <w:footnoteReference w:id="2"/>
      </w:r>
    </w:p>
    <w:p>
      <w:pPr>
        <w:spacing w:after="120" w:line="259" w:lineRule="auto"/>
        <w:ind w:left="691" w:hanging="403"/>
      </w:pPr>
      <w:r>
        <w:rPr>
          <w:rFonts w:ascii="Times New Roman" w:hAnsi="Times New Roman"/>
          <w:b w:val="0"/>
          <w:i w:val="0"/>
          <w:color w:val="000000"/>
          <w:sz w:val="22"/>
        </w:rPr>
        <w:t>(c)</w:t>
      </w:r>
      <w:r>
        <w:rPr>
          <w:rFonts w:ascii="Times New Roman" w:hAnsi="Times New Roman"/>
          <w:b w:val="0"/>
          <w:i w:val="0"/>
          <w:color w:val="000000"/>
          <w:sz w:val="22"/>
        </w:rPr>
        <w:t xml:space="preserve">  [OPTIONAL] $[AMOUNT] will be deposited with an agreed escrow agent or retained as a holdback for [PERIOD] to support Seller's post-Closing obligations.</w:t>
      </w:r>
    </w:p>
    <w:p>
      <w:pPr>
        <w:spacing w:after="120" w:line="259" w:lineRule="auto"/>
        <w:ind w:left="691" w:hanging="403"/>
      </w:pPr>
      <w:r>
        <w:rPr>
          <w:rFonts w:ascii="Times New Roman" w:hAnsi="Times New Roman"/>
          <w:b w:val="0"/>
          <w:i w:val="0"/>
          <w:color w:val="000000"/>
          <w:sz w:val="22"/>
        </w:rPr>
        <w:t>(d)</w:t>
      </w:r>
      <w:r>
        <w:rPr>
          <w:rFonts w:ascii="Times New Roman" w:hAnsi="Times New Roman"/>
          <w:b w:val="0"/>
          <w:i w:val="0"/>
          <w:color w:val="000000"/>
          <w:sz w:val="22"/>
        </w:rPr>
        <w:t xml:space="preserve">  [OPTIONAL] Seller may receive additional consideration of up to $[AMOUNT] based on [METRIC] during [PERIOD], subject to agreed calculation, reporting, operating-control, dispute, acceleration, and change-of-control terms.</w:t>
      </w:r>
    </w:p>
    <w:p>
      <w:pPr>
        <w:keepNext w:val="0"/>
        <w:spacing w:before="200" w:after="100"/>
        <w:ind w:left="0" w:firstLine="0"/>
      </w:pPr>
      <w:r>
        <w:rPr>
          <w:rFonts w:ascii="Times New Roman" w:hAnsi="Times New Roman"/>
          <w:b/>
          <w:i w:val="0"/>
          <w:color w:val="000000"/>
          <w:sz w:val="22"/>
        </w:rPr>
        <w:t>3.  Purchase Price Assumptions and Adjustments.</w:t>
      </w:r>
      <w:r>
        <w:rPr>
          <w:rFonts w:ascii="Times New Roman" w:hAnsi="Times New Roman"/>
          <w:b w:val="0"/>
          <w:i w:val="0"/>
          <w:color w:val="000000"/>
          <w:sz w:val="22"/>
        </w:rPr>
        <w:t xml:space="preserve">  Buyer has calculated the Purchase Price using information currently available to Buyer and the following assumptions:</w:t>
      </w:r>
    </w:p>
    <w:p>
      <w:pPr>
        <w:spacing w:after="120" w:line="259" w:lineRule="auto"/>
        <w:ind w:left="691" w:hanging="403"/>
      </w:pPr>
      <w:r>
        <w:rPr>
          <w:rFonts w:ascii="Times New Roman" w:hAnsi="Times New Roman"/>
          <w:b w:val="0"/>
          <w:i w:val="0"/>
          <w:color w:val="000000"/>
          <w:sz w:val="22"/>
        </w:rPr>
        <w:t>(a)</w:t>
      </w:r>
      <w:r>
        <w:rPr>
          <w:rFonts w:ascii="Times New Roman" w:hAnsi="Times New Roman"/>
          <w:b w:val="0"/>
          <w:i w:val="0"/>
          <w:color w:val="000000"/>
          <w:sz w:val="22"/>
        </w:rPr>
        <w:t xml:space="preserve">  The Business generated adjusted EBITDA of $[AMOUNT] for the [PERIOD], calculated using the adjustments listed on Schedule 5.</w:t>
      </w:r>
    </w:p>
    <w:p>
      <w:pPr>
        <w:spacing w:after="120" w:line="259" w:lineRule="auto"/>
        <w:ind w:left="691" w:hanging="403"/>
      </w:pPr>
      <w:r>
        <w:rPr>
          <w:rFonts w:ascii="Times New Roman" w:hAnsi="Times New Roman"/>
          <w:b w:val="0"/>
          <w:i w:val="0"/>
          <w:color w:val="000000"/>
          <w:sz w:val="22"/>
        </w:rPr>
        <w:t>(b)</w:t>
      </w:r>
      <w:r>
        <w:rPr>
          <w:rFonts w:ascii="Times New Roman" w:hAnsi="Times New Roman"/>
          <w:b w:val="0"/>
          <w:i w:val="0"/>
          <w:color w:val="000000"/>
          <w:sz w:val="22"/>
        </w:rPr>
        <w:t xml:space="preserve">  The normalized working-capital target is $[AMOUNT]. The Purchase Price will be adjusted dollar for dollar by the amount Closing Working Capital is above or below that target, using the accounting principles, estimate process, post-Closing true-up, and independent-accountant dispute procedure stated on Schedule 6.</w:t>
      </w:r>
      <w:r>
        <w:footnoteReference w:id="3"/>
      </w:r>
    </w:p>
    <w:p>
      <w:pPr>
        <w:spacing w:after="120" w:line="259" w:lineRule="auto"/>
        <w:ind w:left="691" w:hanging="403"/>
      </w:pPr>
      <w:r>
        <w:rPr>
          <w:rFonts w:ascii="Times New Roman" w:hAnsi="Times New Roman"/>
          <w:b w:val="0"/>
          <w:i w:val="0"/>
          <w:color w:val="000000"/>
          <w:sz w:val="22"/>
        </w:rPr>
        <w:t>(c)</w:t>
      </w:r>
      <w:r>
        <w:rPr>
          <w:rFonts w:ascii="Times New Roman" w:hAnsi="Times New Roman"/>
          <w:b w:val="0"/>
          <w:i w:val="0"/>
          <w:color w:val="000000"/>
          <w:sz w:val="22"/>
        </w:rPr>
        <w:t xml:space="preserve">  Inventory will be [included in Working Capital / valued separately under Schedule 7] and will exclude obsolete, damaged, slow-moving, or otherwise unusable items under agreed standards.</w:t>
      </w:r>
    </w:p>
    <w:p>
      <w:pPr>
        <w:spacing w:after="120" w:line="259" w:lineRule="auto"/>
        <w:ind w:left="691" w:hanging="403"/>
      </w:pPr>
      <w:r>
        <w:rPr>
          <w:rFonts w:ascii="Times New Roman" w:hAnsi="Times New Roman"/>
          <w:b w:val="0"/>
          <w:i w:val="0"/>
          <w:color w:val="000000"/>
          <w:sz w:val="22"/>
        </w:rPr>
        <w:t>(d)</w:t>
      </w:r>
      <w:r>
        <w:rPr>
          <w:rFonts w:ascii="Times New Roman" w:hAnsi="Times New Roman"/>
          <w:b w:val="0"/>
          <w:i w:val="0"/>
          <w:color w:val="000000"/>
          <w:sz w:val="22"/>
        </w:rPr>
        <w:t xml:space="preserve">  The parties will cooperate to allocate the Purchase Price and Assumed Liabilities among the Acquired Assets under applicable tax law and will file consistently with the final allocation, subject to advice from their respective tax advisers.</w:t>
      </w:r>
    </w:p>
    <w:p>
      <w:pPr>
        <w:spacing w:after="120" w:line="259" w:lineRule="auto"/>
        <w:ind w:left="691" w:hanging="403"/>
      </w:pPr>
      <w:r>
        <w:rPr>
          <w:rFonts w:ascii="Times New Roman" w:hAnsi="Times New Roman"/>
          <w:b w:val="0"/>
          <w:i w:val="0"/>
          <w:color w:val="000000"/>
          <w:sz w:val="22"/>
        </w:rPr>
        <w:t>(e)</w:t>
      </w:r>
      <w:r>
        <w:rPr>
          <w:rFonts w:ascii="Times New Roman" w:hAnsi="Times New Roman"/>
          <w:b w:val="0"/>
          <w:i w:val="0"/>
          <w:color w:val="000000"/>
          <w:sz w:val="22"/>
        </w:rPr>
        <w:t xml:space="preserve">  [STATE ANY OTHER ASSUMPTIONS THAT SUPPORT THE PRICE OR STRUCTURE].</w:t>
      </w:r>
    </w:p>
    <w:p>
      <w:pPr>
        <w:keepNext w:val="0"/>
        <w:spacing w:before="200" w:after="100"/>
        <w:ind w:left="0" w:firstLine="0"/>
      </w:pPr>
      <w:r>
        <w:rPr>
          <w:rFonts w:ascii="Times New Roman" w:hAnsi="Times New Roman"/>
          <w:b/>
          <w:i w:val="0"/>
          <w:color w:val="000000"/>
          <w:sz w:val="22"/>
        </w:rPr>
        <w:t>4.  Financing.</w:t>
      </w:r>
      <w:r>
        <w:rPr>
          <w:rFonts w:ascii="Times New Roman" w:hAnsi="Times New Roman"/>
          <w:b w:val="0"/>
          <w:i w:val="0"/>
          <w:color w:val="000000"/>
          <w:sz w:val="22"/>
        </w:rPr>
        <w:t xml:space="preserve">  Buyer expects to fund the Transaction through a combination of equity and [SBA 7(a) / conventional senior debt / other financing]. Buyer's obligation to close will be conditioned on receipt of financing commitments and final loan documentation acceptable to Buyer. Seller and the Owners will reasonably cooperate with lender diligence, collateral, payoff, standby, subordination, authorization, and Closing requirements. Nothing in this Letter obligates Buyer or its affiliates to fund the Transaction without the contemplated financing.</w:t>
      </w:r>
      <w:r>
        <w:footnoteReference w:id="4"/>
      </w:r>
    </w:p>
    <w:p>
      <w:pPr>
        <w:keepNext w:val="0"/>
        <w:spacing w:before="200" w:after="100"/>
        <w:ind w:left="0" w:firstLine="0"/>
      </w:pPr>
      <w:r>
        <w:rPr>
          <w:rFonts w:ascii="Times New Roman" w:hAnsi="Times New Roman"/>
          <w:b/>
          <w:i w:val="0"/>
          <w:color w:val="000000"/>
          <w:sz w:val="22"/>
        </w:rPr>
        <w:t>5.  Definitive Agreements.</w:t>
      </w:r>
      <w:r>
        <w:rPr>
          <w:rFonts w:ascii="Times New Roman" w:hAnsi="Times New Roman"/>
          <w:b w:val="0"/>
          <w:i w:val="0"/>
          <w:color w:val="000000"/>
          <w:sz w:val="22"/>
        </w:rPr>
        <w:t xml:space="preserve">  Promptly after execution of this Letter, the parties will negotiate a mutually acceptable asset purchase agreement (the “Definitive Agreement”) and related instruments. Buyer's counsel will prepare the first draft. The Definitive Agreement will incorporate the terms stated in this Letter and other provisions appropriate for a transaction of this type and size, including representations, warranties, covenants, conditions, and indemnification provisions. Silence in this Letter regarding a matter customarily addressed in definitive documentation will not be treated as an agreement to exclude that matter.</w:t>
      </w:r>
    </w:p>
    <w:p>
      <w:pPr>
        <w:spacing w:after="120" w:line="259" w:lineRule="auto"/>
        <w:ind w:left="691" w:hanging="403"/>
      </w:pPr>
      <w:r>
        <w:rPr>
          <w:rFonts w:ascii="Times New Roman" w:hAnsi="Times New Roman"/>
          <w:b w:val="0"/>
          <w:i w:val="0"/>
          <w:color w:val="000000"/>
          <w:sz w:val="22"/>
        </w:rPr>
        <w:t>(a)</w:t>
      </w:r>
      <w:r>
        <w:rPr>
          <w:rFonts w:ascii="Times New Roman" w:hAnsi="Times New Roman"/>
          <w:b w:val="0"/>
          <w:i w:val="0"/>
          <w:color w:val="000000"/>
          <w:sz w:val="22"/>
        </w:rPr>
        <w:t xml:space="preserve">  The parties intend to negotiate survival periods, baskets, caps, special indemnities, third-party claim procedures, exclusive-remedy provisions, fraud and covenant carveouts, and the available recovery sources, including escrow, holdback, the Seller Note, setoff rights, and insurance.</w:t>
      </w:r>
    </w:p>
    <w:p>
      <w:pPr>
        <w:spacing w:after="120" w:line="259" w:lineRule="auto"/>
        <w:ind w:left="691" w:hanging="403"/>
      </w:pPr>
      <w:r>
        <w:rPr>
          <w:rFonts w:ascii="Times New Roman" w:hAnsi="Times New Roman"/>
          <w:b w:val="0"/>
          <w:i w:val="0"/>
          <w:color w:val="000000"/>
          <w:sz w:val="22"/>
        </w:rPr>
        <w:t>(b)</w:t>
      </w:r>
      <w:r>
        <w:rPr>
          <w:rFonts w:ascii="Times New Roman" w:hAnsi="Times New Roman"/>
          <w:b w:val="0"/>
          <w:i w:val="0"/>
          <w:color w:val="000000"/>
          <w:sz w:val="22"/>
        </w:rPr>
        <w:t xml:space="preserve">  Seller's indemnification obligations will include losses arising from Excluded Liabilities and related third-party claims, subject to the negotiated limitations and procedures in the Definitive Agreement.</w:t>
      </w:r>
      <w:r>
        <w:footnoteReference w:id="5"/>
      </w:r>
    </w:p>
    <w:p>
      <w:pPr>
        <w:spacing w:after="120" w:line="259" w:lineRule="auto"/>
        <w:ind w:left="691" w:hanging="403"/>
      </w:pPr>
      <w:r>
        <w:rPr>
          <w:rFonts w:ascii="Times New Roman" w:hAnsi="Times New Roman"/>
          <w:b w:val="0"/>
          <w:i w:val="0"/>
          <w:color w:val="000000"/>
          <w:sz w:val="22"/>
        </w:rPr>
        <w:t>(c)</w:t>
      </w:r>
      <w:r>
        <w:rPr>
          <w:rFonts w:ascii="Times New Roman" w:hAnsi="Times New Roman"/>
          <w:b w:val="0"/>
          <w:i w:val="0"/>
          <w:color w:val="000000"/>
          <w:sz w:val="22"/>
        </w:rPr>
        <w:t xml:space="preserve">  Ancillary agreements are expected to include bills of sale, assignment and assumption agreements, intellectual-property assignments, payoff and lien-release documents, restrictive covenant agreements, employment or consulting agreements, real-estate documents, and transition-services documents, as applicable.</w:t>
      </w:r>
    </w:p>
    <w:p>
      <w:pPr>
        <w:keepNext w:val="0"/>
        <w:spacing w:before="200" w:after="100"/>
        <w:ind w:left="0" w:firstLine="0"/>
      </w:pPr>
      <w:r>
        <w:rPr>
          <w:rFonts w:ascii="Times New Roman" w:hAnsi="Times New Roman"/>
          <w:b/>
          <w:i w:val="0"/>
          <w:color w:val="000000"/>
          <w:sz w:val="22"/>
        </w:rPr>
        <w:t>6.  Conditions to Closing.</w:t>
      </w:r>
      <w:r>
        <w:rPr>
          <w:rFonts w:ascii="Times New Roman" w:hAnsi="Times New Roman"/>
          <w:b w:val="0"/>
          <w:i w:val="0"/>
          <w:color w:val="000000"/>
          <w:sz w:val="22"/>
        </w:rPr>
        <w:t xml:space="preserve">  Buyer's obligation to close will be subject to customary conditions, including:</w:t>
      </w:r>
      <w:r>
        <w:footnoteReference w:id="6"/>
      </w:r>
    </w:p>
    <w:p>
      <w:pPr>
        <w:spacing w:after="120" w:line="259" w:lineRule="auto"/>
        <w:ind w:left="691" w:hanging="403"/>
      </w:pPr>
      <w:r>
        <w:rPr>
          <w:rFonts w:ascii="Times New Roman" w:hAnsi="Times New Roman"/>
          <w:b w:val="0"/>
          <w:i w:val="0"/>
          <w:color w:val="000000"/>
          <w:sz w:val="22"/>
        </w:rPr>
        <w:t>(a)</w:t>
      </w:r>
      <w:r>
        <w:rPr>
          <w:rFonts w:ascii="Times New Roman" w:hAnsi="Times New Roman"/>
          <w:b w:val="0"/>
          <w:i w:val="0"/>
          <w:color w:val="000000"/>
          <w:sz w:val="22"/>
        </w:rPr>
        <w:t xml:space="preserve">  completion of legal, financial, tax, operational, commercial, employment, information-security, insurance, environmental, and other diligence satisfactory to Buyer;</w:t>
      </w:r>
    </w:p>
    <w:p>
      <w:pPr>
        <w:spacing w:after="120" w:line="259" w:lineRule="auto"/>
        <w:ind w:left="691" w:hanging="403"/>
      </w:pPr>
      <w:r>
        <w:rPr>
          <w:rFonts w:ascii="Times New Roman" w:hAnsi="Times New Roman"/>
          <w:b w:val="0"/>
          <w:i w:val="0"/>
          <w:color w:val="000000"/>
          <w:sz w:val="22"/>
        </w:rPr>
        <w:t>(b)</w:t>
      </w:r>
      <w:r>
        <w:rPr>
          <w:rFonts w:ascii="Times New Roman" w:hAnsi="Times New Roman"/>
          <w:b w:val="0"/>
          <w:i w:val="0"/>
          <w:color w:val="000000"/>
          <w:sz w:val="22"/>
        </w:rPr>
        <w:t xml:space="preserve">  execution and delivery of the Definitive Agreement and all required ancillary agreements;</w:t>
      </w:r>
    </w:p>
    <w:p>
      <w:pPr>
        <w:spacing w:after="120" w:line="259" w:lineRule="auto"/>
        <w:ind w:left="691" w:hanging="403"/>
      </w:pPr>
      <w:r>
        <w:rPr>
          <w:rFonts w:ascii="Times New Roman" w:hAnsi="Times New Roman"/>
          <w:b w:val="0"/>
          <w:i w:val="0"/>
          <w:color w:val="000000"/>
          <w:sz w:val="22"/>
        </w:rPr>
        <w:t>(c)</w:t>
      </w:r>
      <w:r>
        <w:rPr>
          <w:rFonts w:ascii="Times New Roman" w:hAnsi="Times New Roman"/>
          <w:b w:val="0"/>
          <w:i w:val="0"/>
          <w:color w:val="000000"/>
          <w:sz w:val="22"/>
        </w:rPr>
        <w:t xml:space="preserve">  receipt of the financing described in Section 4;</w:t>
      </w:r>
    </w:p>
    <w:p>
      <w:pPr>
        <w:spacing w:after="120" w:line="259" w:lineRule="auto"/>
        <w:ind w:left="691" w:hanging="403"/>
      </w:pPr>
      <w:r>
        <w:rPr>
          <w:rFonts w:ascii="Times New Roman" w:hAnsi="Times New Roman"/>
          <w:b w:val="0"/>
          <w:i w:val="0"/>
          <w:color w:val="000000"/>
          <w:sz w:val="22"/>
        </w:rPr>
        <w:t>(d)</w:t>
      </w:r>
      <w:r>
        <w:rPr>
          <w:rFonts w:ascii="Times New Roman" w:hAnsi="Times New Roman"/>
          <w:b w:val="0"/>
          <w:i w:val="0"/>
          <w:color w:val="000000"/>
          <w:sz w:val="22"/>
        </w:rPr>
        <w:t xml:space="preserve">  receipt of required governmental, landlord, lender, customer, supplier, contract-counterparty, and other third-party consents;</w:t>
      </w:r>
    </w:p>
    <w:p>
      <w:pPr>
        <w:spacing w:after="120" w:line="259" w:lineRule="auto"/>
        <w:ind w:left="691" w:hanging="403"/>
      </w:pPr>
      <w:r>
        <w:rPr>
          <w:rFonts w:ascii="Times New Roman" w:hAnsi="Times New Roman"/>
          <w:b w:val="0"/>
          <w:i w:val="0"/>
          <w:color w:val="000000"/>
          <w:sz w:val="22"/>
        </w:rPr>
        <w:t>(e)</w:t>
      </w:r>
      <w:r>
        <w:rPr>
          <w:rFonts w:ascii="Times New Roman" w:hAnsi="Times New Roman"/>
          <w:b w:val="0"/>
          <w:i w:val="0"/>
          <w:color w:val="000000"/>
          <w:sz w:val="22"/>
        </w:rPr>
        <w:t xml:space="preserve">  delivery of releases of all liens and identified personal guaranties;</w:t>
      </w:r>
    </w:p>
    <w:p>
      <w:pPr>
        <w:spacing w:after="120" w:line="259" w:lineRule="auto"/>
        <w:ind w:left="691" w:hanging="403"/>
      </w:pPr>
      <w:r>
        <w:rPr>
          <w:rFonts w:ascii="Times New Roman" w:hAnsi="Times New Roman"/>
          <w:b w:val="0"/>
          <w:i w:val="0"/>
          <w:color w:val="000000"/>
          <w:sz w:val="22"/>
        </w:rPr>
        <w:t>(f)</w:t>
      </w:r>
      <w:r>
        <w:rPr>
          <w:rFonts w:ascii="Times New Roman" w:hAnsi="Times New Roman"/>
          <w:b w:val="0"/>
          <w:i w:val="0"/>
          <w:color w:val="000000"/>
          <w:sz w:val="22"/>
        </w:rPr>
        <w:t xml:space="preserve">  continued service or transition commitments from [KEY PERSONNEL];</w:t>
      </w:r>
    </w:p>
    <w:p>
      <w:pPr>
        <w:spacing w:after="120" w:line="259" w:lineRule="auto"/>
        <w:ind w:left="691" w:hanging="403"/>
      </w:pPr>
      <w:r>
        <w:rPr>
          <w:rFonts w:ascii="Times New Roman" w:hAnsi="Times New Roman"/>
          <w:b w:val="0"/>
          <w:i w:val="0"/>
          <w:color w:val="000000"/>
          <w:sz w:val="22"/>
        </w:rPr>
        <w:t>(g)</w:t>
      </w:r>
      <w:r>
        <w:rPr>
          <w:rFonts w:ascii="Times New Roman" w:hAnsi="Times New Roman"/>
          <w:b w:val="0"/>
          <w:i w:val="0"/>
          <w:color w:val="000000"/>
          <w:sz w:val="22"/>
        </w:rPr>
        <w:t xml:space="preserve">  accuracy of agreed representations and performance of agreed covenants; and</w:t>
      </w:r>
    </w:p>
    <w:p>
      <w:pPr>
        <w:spacing w:after="120" w:line="259" w:lineRule="auto"/>
        <w:ind w:left="691" w:hanging="403"/>
      </w:pPr>
      <w:r>
        <w:rPr>
          <w:rFonts w:ascii="Times New Roman" w:hAnsi="Times New Roman"/>
          <w:b w:val="0"/>
          <w:i w:val="0"/>
          <w:color w:val="000000"/>
          <w:sz w:val="22"/>
        </w:rPr>
        <w:t>(h)</w:t>
      </w:r>
      <w:r>
        <w:rPr>
          <w:rFonts w:ascii="Times New Roman" w:hAnsi="Times New Roman"/>
          <w:b w:val="0"/>
          <w:i w:val="0"/>
          <w:color w:val="000000"/>
          <w:sz w:val="22"/>
        </w:rPr>
        <w:t xml:space="preserve">  no material adverse change under the definition negotiated in the Definitive Agreement.</w:t>
      </w:r>
    </w:p>
    <w:p>
      <w:pPr>
        <w:keepNext w:val="0"/>
        <w:spacing w:before="200" w:after="100"/>
        <w:ind w:left="0" w:firstLine="0"/>
      </w:pPr>
      <w:r>
        <w:rPr>
          <w:rFonts w:ascii="Times New Roman" w:hAnsi="Times New Roman"/>
          <w:b/>
          <w:i w:val="0"/>
          <w:color w:val="000000"/>
          <w:sz w:val="22"/>
        </w:rPr>
        <w:t>7.  Due Diligence.</w:t>
      </w:r>
      <w:r>
        <w:rPr>
          <w:rFonts w:ascii="Times New Roman" w:hAnsi="Times New Roman"/>
          <w:b w:val="0"/>
          <w:i w:val="0"/>
          <w:color w:val="000000"/>
          <w:sz w:val="22"/>
        </w:rPr>
        <w:t xml:space="preserve">  From the date of this Letter, Seller will provide Buyer and its advisers reasonable access to the Business's facilities, records, contracts, financial information, personnel, and advisers to complete diligence. Buyer will not contact employees, customers, suppliers, landlords, lenders, or other business relationships without Seller's prior written consent, which will not be unreasonably withheld once an agreed diligence stage has been reached.</w:t>
      </w:r>
      <w:r>
        <w:footnoteReference w:id="7"/>
      </w:r>
    </w:p>
    <w:p>
      <w:pPr>
        <w:keepNext w:val="0"/>
        <w:spacing w:before="200" w:after="100"/>
        <w:ind w:left="0" w:firstLine="0"/>
      </w:pPr>
      <w:r>
        <w:rPr>
          <w:rFonts w:ascii="Times New Roman" w:hAnsi="Times New Roman"/>
          <w:b/>
          <w:i w:val="0"/>
          <w:color w:val="000000"/>
          <w:sz w:val="22"/>
        </w:rPr>
        <w:t>8.  Employees and Transition.</w:t>
      </w:r>
      <w:r>
        <w:rPr>
          <w:rFonts w:ascii="Times New Roman" w:hAnsi="Times New Roman"/>
          <w:b w:val="0"/>
          <w:i w:val="0"/>
          <w:color w:val="000000"/>
          <w:sz w:val="22"/>
        </w:rPr>
        <w:t xml:space="preserve">  Buyer expects to offer employment to [ALL / IDENTIFIED] employees on terms determined by Buyer. Seller will remain responsible for wages, payroll taxes, benefits, accrued obligations, severance, and other employment liabilities attributable to periods before Closing, except as expressly agreed. [OWNER OR KEY PERSON] will provide transition services for [PERIOD], up to [HOURS], for [NO ADDITIONAL CONSIDERATION / $AMOUNT], under agreed authority, access, expense, confidentiality, and termination terms.</w:t>
      </w:r>
      <w:r>
        <w:footnoteReference w:id="8"/>
      </w:r>
    </w:p>
    <w:p>
      <w:pPr>
        <w:keepNext w:val="0"/>
        <w:spacing w:before="200" w:after="100"/>
        <w:ind w:left="0" w:firstLine="0"/>
      </w:pPr>
      <w:r>
        <w:rPr>
          <w:rFonts w:ascii="Times New Roman" w:hAnsi="Times New Roman"/>
          <w:b/>
          <w:i w:val="0"/>
          <w:color w:val="000000"/>
          <w:sz w:val="22"/>
        </w:rPr>
        <w:t>9.  Real Estate.</w:t>
      </w:r>
      <w:r>
        <w:rPr>
          <w:rFonts w:ascii="Times New Roman" w:hAnsi="Times New Roman"/>
          <w:b w:val="0"/>
          <w:i w:val="0"/>
          <w:color w:val="000000"/>
          <w:sz w:val="22"/>
        </w:rPr>
        <w:t xml:space="preserve">  [SELECT ONE: Buyer will assume the existing lease for the premises at [ADDRESS], subject to landlord consent and amendments acceptable to Buyer / Buyer and Seller or Seller's affiliate will enter into a new lease on the principal terms stated on Schedule 8 / the Transaction is conditioned on Buyer's acquisition of the real property under a separate agreement.] The real-estate documents will address term, rent, renewals, maintenance, taxes, insurance, assignment, lender requirements, environmental matters, casualty, and condemnation.</w:t>
      </w:r>
      <w:r>
        <w:footnoteReference w:id="9"/>
      </w:r>
    </w:p>
    <w:p>
      <w:pPr>
        <w:keepNext w:val="0"/>
        <w:spacing w:before="200" w:after="100"/>
        <w:ind w:left="0" w:firstLine="0"/>
      </w:pPr>
      <w:r>
        <w:rPr>
          <w:rFonts w:ascii="Times New Roman" w:hAnsi="Times New Roman"/>
          <w:b/>
          <w:i w:val="0"/>
          <w:color w:val="000000"/>
          <w:sz w:val="22"/>
        </w:rPr>
        <w:t>10.  Restrictive Covenants.</w:t>
      </w:r>
      <w:r>
        <w:rPr>
          <w:rFonts w:ascii="Times New Roman" w:hAnsi="Times New Roman"/>
          <w:b w:val="0"/>
          <w:i w:val="0"/>
          <w:color w:val="000000"/>
          <w:sz w:val="22"/>
        </w:rPr>
        <w:t xml:space="preserve">  As a condition to Closing, Seller and each [IDENTIFIED OWNER OR KEY PERSON] will enter into confidentiality, noncompetition, nonsolicitation, and noninterference covenants reasonably designed to protect the goodwill acquired by Buyer for [PERIOD] and within [TERRITORY], subject to applicable law.</w:t>
      </w:r>
      <w:r>
        <w:footnoteReference w:id="10"/>
      </w:r>
    </w:p>
    <w:p>
      <w:pPr>
        <w:keepNext w:val="0"/>
        <w:spacing w:before="200" w:after="100"/>
        <w:ind w:left="0" w:firstLine="0"/>
      </w:pPr>
      <w:r>
        <w:rPr>
          <w:rFonts w:ascii="Times New Roman" w:hAnsi="Times New Roman"/>
          <w:b/>
          <w:i w:val="0"/>
          <w:color w:val="000000"/>
          <w:sz w:val="22"/>
        </w:rPr>
        <w:t>11.  Conduct Before Closing.</w:t>
      </w:r>
      <w:r>
        <w:rPr>
          <w:rFonts w:ascii="Times New Roman" w:hAnsi="Times New Roman"/>
          <w:b w:val="0"/>
          <w:i w:val="0"/>
          <w:color w:val="000000"/>
          <w:sz w:val="22"/>
        </w:rPr>
        <w:t xml:space="preserve">  From acceptance of this Letter until its termination or Closing, Seller will operate the Business in the ordinary course consistent with past practice and preserve material relationships. Without Buyer's prior written consent, not to be unreasonably withheld, Seller will not take action outside agreed thresholds that materially affects assets, indebtedness, distributions, compensation, employees, customers, suppliers, capital expenditures, contracts, or working capital.</w:t>
      </w:r>
      <w:r>
        <w:footnoteReference w:id="11"/>
      </w:r>
    </w:p>
    <w:p>
      <w:pPr>
        <w:keepNext w:val="0"/>
        <w:spacing w:before="200" w:after="100"/>
        <w:ind w:left="0" w:firstLine="0"/>
      </w:pPr>
      <w:r>
        <w:rPr>
          <w:rFonts w:ascii="Times New Roman" w:hAnsi="Times New Roman"/>
          <w:b/>
          <w:i w:val="0"/>
          <w:color w:val="000000"/>
          <w:sz w:val="22"/>
        </w:rPr>
        <w:t>12.  Exclusivity.</w:t>
      </w:r>
      <w:r>
        <w:rPr>
          <w:rFonts w:ascii="Times New Roman" w:hAnsi="Times New Roman"/>
          <w:b w:val="0"/>
          <w:i w:val="0"/>
          <w:color w:val="000000"/>
          <w:sz w:val="22"/>
        </w:rPr>
        <w:t xml:space="preserve">  For [NUMBER] days after Seller accepts this Letter (the “Exclusivity Period”), Seller, the Owners, and their representatives will not solicit, encourage, discuss, negotiate, or enter into any competing acquisition, investment, financing, or similar transaction concerning the Business or the Acquired Assets. Seller will promptly notify Buyer of any unsolicited proposal and will cease existing discussions with other potential acquirers. [The Exclusivity Period will extend for [NUMBER] days if Buyer satisfies the diligence, financing, and drafting milestones stated on Schedule 9.]</w:t>
      </w:r>
      <w:r>
        <w:footnoteReference w:id="12"/>
      </w:r>
    </w:p>
    <w:p>
      <w:pPr>
        <w:keepNext w:val="0"/>
        <w:spacing w:before="200" w:after="100"/>
        <w:ind w:left="0" w:firstLine="0"/>
      </w:pPr>
      <w:r>
        <w:rPr>
          <w:rFonts w:ascii="Times New Roman" w:hAnsi="Times New Roman"/>
          <w:b/>
          <w:i w:val="0"/>
          <w:color w:val="000000"/>
          <w:sz w:val="22"/>
        </w:rPr>
        <w:t>13.  Confidentiality; Publicity.</w:t>
      </w:r>
      <w:r>
        <w:rPr>
          <w:rFonts w:ascii="Times New Roman" w:hAnsi="Times New Roman"/>
          <w:b w:val="0"/>
          <w:i w:val="0"/>
          <w:color w:val="000000"/>
          <w:sz w:val="22"/>
        </w:rPr>
        <w:t xml:space="preserve">  The confidentiality agreement dated [DATE] remains in full force. The existence and terms of this Letter and the Transaction are confidential. Neither party will issue a public announcement or contact employees, customers, suppliers, or other business relationships regarding the Transaction without the other party's prior written consent, except as required by law and after reasonable advance notice where permitted.</w:t>
      </w:r>
    </w:p>
    <w:p>
      <w:pPr>
        <w:keepNext w:val="0"/>
        <w:spacing w:before="200" w:after="100"/>
        <w:ind w:left="0" w:firstLine="0"/>
      </w:pPr>
      <w:r>
        <w:rPr>
          <w:rFonts w:ascii="Times New Roman" w:hAnsi="Times New Roman"/>
          <w:b/>
          <w:i w:val="0"/>
          <w:color w:val="000000"/>
          <w:sz w:val="22"/>
        </w:rPr>
        <w:t>14.  Expenses; Brokers.</w:t>
      </w:r>
      <w:r>
        <w:rPr>
          <w:rFonts w:ascii="Times New Roman" w:hAnsi="Times New Roman"/>
          <w:b w:val="0"/>
          <w:i w:val="0"/>
          <w:color w:val="000000"/>
          <w:sz w:val="22"/>
        </w:rPr>
        <w:t xml:space="preserve">  Each party will bear its own transaction expenses, whether or not Closing occurs. Seller represents that no broker or finder is entitled to a fee that could become Buyer's responsibility, except [IDENTIFY]. [OPTIONAL: Seller will reimburse Buyer's documented out-of-pocket transaction expenses up to $[AMOUNT] if Seller materially breaches Section 12 or closes a competing transaction during the Exclusivity Period.]</w:t>
      </w:r>
    </w:p>
    <w:p>
      <w:pPr>
        <w:keepNext w:val="0"/>
        <w:spacing w:before="200" w:after="100"/>
        <w:ind w:left="0" w:firstLine="0"/>
      </w:pPr>
      <w:r>
        <w:rPr>
          <w:rFonts w:ascii="Times New Roman" w:hAnsi="Times New Roman"/>
          <w:b/>
          <w:i w:val="0"/>
          <w:color w:val="000000"/>
          <w:sz w:val="22"/>
        </w:rPr>
        <w:t>15.  Termination; Expiration.</w:t>
      </w:r>
      <w:r>
        <w:rPr>
          <w:rFonts w:ascii="Times New Roman" w:hAnsi="Times New Roman"/>
          <w:b w:val="0"/>
          <w:i w:val="0"/>
          <w:color w:val="000000"/>
          <w:sz w:val="22"/>
        </w:rPr>
        <w:t xml:space="preserve">  This Letter will terminate on the earliest of: (a) execution of the Definitive Agreement; (b) mutual written agreement; (c) written notice by either party after [DATE]; (d) material breach of a binding provision by the other party; or (e) failure to meet an agreed milestone. This proposal will expire at [TIME] [TIME ZONE] on [DATE] unless accepted before that time. Termination will not affect rights arising from a prior breach of a binding provision.</w:t>
      </w:r>
    </w:p>
    <w:p>
      <w:pPr>
        <w:keepNext w:val="0"/>
        <w:spacing w:before="200" w:after="100"/>
        <w:ind w:left="0" w:firstLine="0"/>
      </w:pPr>
      <w:r>
        <w:rPr>
          <w:rFonts w:ascii="Times New Roman" w:hAnsi="Times New Roman"/>
          <w:b/>
          <w:i w:val="0"/>
          <w:color w:val="000000"/>
          <w:sz w:val="22"/>
        </w:rPr>
        <w:t>16.  Binding Effect; Governing Law; Miscellaneous.</w:t>
      </w:r>
      <w:r>
        <w:rPr>
          <w:rFonts w:ascii="Times New Roman" w:hAnsi="Times New Roman"/>
          <w:b w:val="0"/>
          <w:i w:val="0"/>
          <w:color w:val="000000"/>
          <w:sz w:val="22"/>
        </w:rPr>
        <w:t xml:space="preserve">  Sections 11 through 16 of this Letter are binding; all other provisions reflect present intentions only. No obligation to consummate the Transaction will arise unless the Definitive Agreement is executed and delivered by all required parties. The binding provisions will be governed by the laws of [STATE], without regard to conflicts principles, and disputes will be brought exclusively in the state or federal courts located in [COUNTY, STATE]. Sections [CONFIDENTIALITY, EXPENSES, GOVERNING LAW, AND OTHER SURVIVING TERMS] will survive termination. This Letter may be executed in counterparts and by electronic signature. No person other than the parties and their permitted successors or assigns is an intended third-party beneficiary.</w:t>
      </w:r>
      <w:r>
        <w:footnoteReference w:id="13"/>
      </w:r>
    </w:p>
    <w:p>
      <w:pPr>
        <w:spacing w:before="240" w:after="320" w:line="259" w:lineRule="auto"/>
        <w:ind w:left="0" w:firstLine="0"/>
      </w:pPr>
      <w:r>
        <w:rPr>
          <w:rFonts w:ascii="Times New Roman" w:hAnsi="Times New Roman"/>
          <w:b w:val="0"/>
          <w:i w:val="0"/>
          <w:color w:val="000000"/>
          <w:sz w:val="22"/>
        </w:rPr>
        <w:t>If the foregoing reflects the parties' understanding, please sign below and return an executed copy to Buyer, attention [NAME], before the expiration stated above.</w:t>
      </w:r>
    </w:p>
    <w:p>
      <w:pPr>
        <w:spacing w:before="0" w:after="280" w:line="259" w:lineRule="auto"/>
        <w:ind w:left="0" w:firstLine="0"/>
      </w:pPr>
      <w:r>
        <w:rPr>
          <w:rFonts w:ascii="Times New Roman" w:hAnsi="Times New Roman"/>
          <w:b w:val="0"/>
          <w:i w:val="0"/>
          <w:color w:val="000000"/>
          <w:sz w:val="22"/>
        </w:rPr>
        <w:t>Very truly yours,</w:t>
      </w:r>
    </w:p>
    <w:tbl>
      <w:tblPr>
        <w:tblW w:type="auto" w:w="0"/>
        <w:jc w:val="center"/>
        <w:tblLayout w:type="fixed"/>
        <w:tblLook w:firstColumn="1" w:firstRow="1" w:lastColumn="0" w:lastRow="0" w:noHBand="0" w:noVBand="1" w:val="04A0"/>
      </w:tblPr>
      <w:tblGrid>
        <w:gridCol w:w="4680"/>
        <w:gridCol w:w="4680"/>
      </w:tblGrid>
      <w:tr>
        <w:tc>
          <w:tcPr>
            <w:tcW w:type="dxa" w:w="4608"/>
            <w:tcMar>
              <w:top w:w="70" w:type="dxa"/>
              <w:start w:w="70" w:type="dxa"/>
              <w:bottom w:w="70" w:type="dxa"/>
              <w:end w:w="110" w:type="dxa"/>
            </w:tcMar>
          </w:tcPr>
          <w:p>
            <w:pPr>
              <w:spacing w:after="0"/>
            </w:pPr>
            <w:r>
              <w:rPr>
                <w:rFonts w:ascii="Times New Roman" w:hAnsi="Times New Roman"/>
                <w:b w:val="0"/>
                <w:i w:val="0"/>
                <w:color w:val="000000"/>
                <w:sz w:val="22"/>
              </w:rPr>
              <w:t>[BUYER LEGAL NAME]</w:t>
            </w:r>
          </w:p>
        </w:tc>
        <w:tc>
          <w:tcPr>
            <w:tcW w:type="dxa" w:w="4608"/>
            <w:tcMar>
              <w:top w:w="70" w:type="dxa"/>
              <w:start w:w="70" w:type="dxa"/>
              <w:bottom w:w="70" w:type="dxa"/>
              <w:end w:w="110" w:type="dxa"/>
            </w:tcMar>
          </w:tcPr>
          <w:p>
            <w:pPr>
              <w:spacing w:after="0"/>
            </w:pPr>
            <w:r>
              <w:rPr>
                <w:rFonts w:ascii="Times New Roman" w:hAnsi="Times New Roman"/>
                <w:b w:val="0"/>
                <w:i w:val="0"/>
                <w:color w:val="000000"/>
                <w:sz w:val="22"/>
              </w:rPr>
              <w:t>AGREED AND ACCEPTED:</w:t>
              <w:br/>
              <w:t>[SELLER LEGAL NAME]</w:t>
            </w:r>
          </w:p>
        </w:tc>
      </w:tr>
      <w:tr>
        <w:tc>
          <w:tcPr>
            <w:tcW w:type="dxa" w:w="4608"/>
            <w:tcMar>
              <w:top w:w="70" w:type="dxa"/>
              <w:start w:w="70" w:type="dxa"/>
              <w:bottom w:w="70" w:type="dxa"/>
              <w:end w:w="110" w:type="dxa"/>
            </w:tcMar>
          </w:tcPr>
          <w:p>
            <w:pPr>
              <w:spacing w:after="0"/>
            </w:pPr>
            <w:r>
              <w:rPr>
                <w:rFonts w:ascii="Times New Roman" w:hAnsi="Times New Roman"/>
                <w:b w:val="0"/>
                <w:i w:val="0"/>
                <w:color w:val="000000"/>
                <w:sz w:val="22"/>
              </w:rPr>
            </w:r>
          </w:p>
        </w:tc>
        <w:tc>
          <w:tcPr>
            <w:tcW w:type="dxa" w:w="4608"/>
            <w:tcMar>
              <w:top w:w="70" w:type="dxa"/>
              <w:start w:w="70" w:type="dxa"/>
              <w:bottom w:w="70" w:type="dxa"/>
              <w:end w:w="110" w:type="dxa"/>
            </w:tcMar>
          </w:tcPr>
          <w:p>
            <w:pPr>
              <w:spacing w:after="0"/>
            </w:pPr>
            <w:r>
              <w:rPr>
                <w:rFonts w:ascii="Times New Roman" w:hAnsi="Times New Roman"/>
                <w:b w:val="0"/>
                <w:i w:val="0"/>
                <w:color w:val="000000"/>
                <w:sz w:val="22"/>
              </w:rPr>
            </w:r>
          </w:p>
        </w:tc>
      </w:tr>
      <w:tr>
        <w:tc>
          <w:tcPr>
            <w:tcW w:type="dxa" w:w="4608"/>
            <w:tcMar>
              <w:top w:w="70" w:type="dxa"/>
              <w:start w:w="70" w:type="dxa"/>
              <w:bottom w:w="70" w:type="dxa"/>
              <w:end w:w="110" w:type="dxa"/>
            </w:tcMar>
          </w:tcPr>
          <w:p>
            <w:pPr>
              <w:spacing w:after="0"/>
            </w:pPr>
            <w:r>
              <w:rPr>
                <w:rFonts w:ascii="Times New Roman" w:hAnsi="Times New Roman"/>
                <w:b w:val="0"/>
                <w:i w:val="0"/>
                <w:color w:val="000000"/>
                <w:sz w:val="22"/>
              </w:rPr>
              <w:t>By: ______________________________</w:t>
            </w:r>
          </w:p>
        </w:tc>
        <w:tc>
          <w:tcPr>
            <w:tcW w:type="dxa" w:w="4608"/>
            <w:tcMar>
              <w:top w:w="70" w:type="dxa"/>
              <w:start w:w="70" w:type="dxa"/>
              <w:bottom w:w="70" w:type="dxa"/>
              <w:end w:w="110" w:type="dxa"/>
            </w:tcMar>
          </w:tcPr>
          <w:p>
            <w:pPr>
              <w:spacing w:after="0"/>
            </w:pPr>
            <w:r>
              <w:rPr>
                <w:rFonts w:ascii="Times New Roman" w:hAnsi="Times New Roman"/>
                <w:b w:val="0"/>
                <w:i w:val="0"/>
                <w:color w:val="000000"/>
                <w:sz w:val="22"/>
              </w:rPr>
              <w:t>By: ______________________________</w:t>
            </w:r>
          </w:p>
        </w:tc>
      </w:tr>
      <w:tr>
        <w:tc>
          <w:tcPr>
            <w:tcW w:type="dxa" w:w="4608"/>
            <w:tcMar>
              <w:top w:w="70" w:type="dxa"/>
              <w:start w:w="70" w:type="dxa"/>
              <w:bottom w:w="70" w:type="dxa"/>
              <w:end w:w="110" w:type="dxa"/>
            </w:tcMar>
          </w:tcPr>
          <w:p>
            <w:pPr>
              <w:spacing w:after="0"/>
            </w:pPr>
            <w:r>
              <w:rPr>
                <w:rFonts w:ascii="Times New Roman" w:hAnsi="Times New Roman"/>
                <w:b w:val="0"/>
                <w:i w:val="0"/>
                <w:color w:val="000000"/>
                <w:sz w:val="22"/>
              </w:rPr>
              <w:t>Name: [NAME]</w:t>
              <w:br/>
              <w:t>Title: [TITLE]</w:t>
            </w:r>
          </w:p>
        </w:tc>
        <w:tc>
          <w:tcPr>
            <w:tcW w:type="dxa" w:w="4608"/>
            <w:tcMar>
              <w:top w:w="70" w:type="dxa"/>
              <w:start w:w="70" w:type="dxa"/>
              <w:bottom w:w="70" w:type="dxa"/>
              <w:end w:w="110" w:type="dxa"/>
            </w:tcMar>
          </w:tcPr>
          <w:p>
            <w:pPr>
              <w:spacing w:after="0"/>
            </w:pPr>
            <w:r>
              <w:rPr>
                <w:rFonts w:ascii="Times New Roman" w:hAnsi="Times New Roman"/>
                <w:b w:val="0"/>
                <w:i w:val="0"/>
                <w:color w:val="000000"/>
                <w:sz w:val="22"/>
              </w:rPr>
              <w:t>Name: [NAME]</w:t>
              <w:br/>
              <w:t>Title: [TITLE]</w:t>
            </w:r>
          </w:p>
        </w:tc>
      </w:tr>
      <w:tr>
        <w:tc>
          <w:tcPr>
            <w:tcW w:type="dxa" w:w="4608"/>
            <w:tcMar>
              <w:top w:w="70" w:type="dxa"/>
              <w:start w:w="70" w:type="dxa"/>
              <w:bottom w:w="70" w:type="dxa"/>
              <w:end w:w="110" w:type="dxa"/>
            </w:tcMar>
          </w:tcPr>
          <w:p>
            <w:pPr>
              <w:spacing w:after="0"/>
            </w:pPr>
            <w:r>
              <w:rPr>
                <w:rFonts w:ascii="Times New Roman" w:hAnsi="Times New Roman"/>
                <w:b w:val="0"/>
                <w:i w:val="0"/>
                <w:color w:val="000000"/>
                <w:sz w:val="22"/>
              </w:rPr>
              <w:t>Date: [DATE]</w:t>
            </w:r>
          </w:p>
        </w:tc>
        <w:tc>
          <w:tcPr>
            <w:tcW w:type="dxa" w:w="4608"/>
            <w:tcMar>
              <w:top w:w="70" w:type="dxa"/>
              <w:start w:w="70" w:type="dxa"/>
              <w:bottom w:w="70" w:type="dxa"/>
              <w:end w:w="110" w:type="dxa"/>
            </w:tcMar>
          </w:tcPr>
          <w:p>
            <w:pPr>
              <w:spacing w:after="0"/>
            </w:pPr>
            <w:r>
              <w:rPr>
                <w:rFonts w:ascii="Times New Roman" w:hAnsi="Times New Roman"/>
                <w:b w:val="0"/>
                <w:i w:val="0"/>
                <w:color w:val="000000"/>
                <w:sz w:val="22"/>
              </w:rPr>
              <w:t>Date: [DATE]</w:t>
            </w:r>
          </w:p>
        </w:tc>
      </w:tr>
    </w:tbl>
    <w:p>
      <w:pPr>
        <w:spacing w:before="280" w:after="60" w:line="259" w:lineRule="auto"/>
        <w:ind w:left="0" w:firstLine="0"/>
      </w:pPr>
      <w:r>
        <w:rPr>
          <w:rFonts w:ascii="Times New Roman" w:hAnsi="Times New Roman"/>
          <w:b/>
          <w:i w:val="0"/>
          <w:color w:val="14283E"/>
          <w:sz w:val="18"/>
        </w:rPr>
        <w:t>TEMPLATE NOTICE</w:t>
      </w:r>
    </w:p>
    <w:p>
      <w:pPr>
        <w:spacing w:before="0" w:after="0" w:line="259" w:lineRule="auto"/>
        <w:ind w:left="0" w:firstLine="0"/>
      </w:pPr>
      <w:r>
        <w:rPr>
          <w:rFonts w:ascii="Times New Roman" w:hAnsi="Times New Roman"/>
          <w:b w:val="0"/>
          <w:i/>
          <w:color w:val="666666"/>
          <w:sz w:val="17"/>
        </w:rPr>
        <w:t>This template is provided for informational and educational purposes only. It is not legal, tax, accounting, securities, financing, investment, or other professional advice and does not create an attorney-client relationship. It is not a statement that any provision is customary, enforceable, or appropriate for a particular transaction. Obtain transaction-specific advice from qualified counsel and other advisers before using or signing any letter of intent.</w:t>
      </w:r>
    </w:p>
    <w:sectPr w:rsidR="00FC693F" w:rsidRPr="0006063C" w:rsidSect="00034616">
      <w:headerReference w:type="default" r:id="rId9"/>
      <w:footerReference w:type="default" r:id="rId10"/>
      <w:pgSz w:w="12240" w:h="15840"/>
      <w:pgMar w:top="1181" w:right="1440" w:bottom="1123" w:left="1440" w:header="432" w:footer="504"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Times New Roman" w:hAnsi="Times New Roman"/>
        <w:b w:val="0"/>
        <w:i w:val="0"/>
        <w:color w:val="666666"/>
        <w:sz w:val="15"/>
      </w:rPr>
      <w:t xml:space="preserve">ATTORNEY REVIEW REQUIRED  |  NOT FOR EXECUTION  |  </w:t>
    </w:r>
    <w:fldSimple w:instr="PAGE"/>
  </w:p>
</w:ftr>
</file>

<file path=word/footnotes.xml><?xml version="1.0" encoding="utf-8"?>
<w:footnotes xmlns:w="http://schemas.openxmlformats.org/wordprocessingml/2006/main" xmlns:r="http://schemas.openxmlformats.org/officeDocument/2006/relationships">
  <w:footnote w:id="-1" w:type="separator">
    <w:p>
      <w:r>
        <w:separator/>
      </w:r>
    </w:p>
  </w:footnote>
  <w:footnote w:id="0" w:type="continuationSeparator">
    <w:p>
      <w:r>
        <w:continuationSeparator/>
      </w:r>
    </w:p>
  </w:footnote>
  <w:footnote w:id="1">
    <w:p>
      <w:pPr>
        <w:spacing w:after="0" w:line="200" w:lineRule="auto"/>
      </w:pPr>
      <w:r>
        <w:rPr>
          <w:rFonts w:ascii="Times New Roman" w:hAnsi="Times New Roman"/>
          <w:sz w:val="16"/>
          <w:szCs w:val="16"/>
        </w:rPr>
        <w:footnoteRef/>
      </w:r>
      <w:r>
        <w:rPr>
          <w:rFonts w:ascii="Times New Roman" w:hAnsi="Times New Roman"/>
          <w:sz w:val="16"/>
          <w:szCs w:val="16"/>
        </w:rPr>
        <w:t> Asset perimeter: An asset deal must identify what moves, what stays, and which liabilities follow. Confirm receivables, deposits, data, licenses, affiliate-owned assets, pre-Closing claims, taxes, and employee obligations.</w:t>
      </w:r>
    </w:p>
  </w:footnote>
  <w:footnote w:id="2">
    <w:p>
      <w:pPr>
        <w:spacing w:after="0" w:line="200" w:lineRule="auto"/>
      </w:pPr>
      <w:r>
        <w:rPr>
          <w:rFonts w:ascii="Times New Roman" w:hAnsi="Times New Roman"/>
          <w:sz w:val="16"/>
          <w:szCs w:val="16"/>
        </w:rPr>
        <w:footnoteRef/>
      </w:r>
      <w:r>
        <w:rPr>
          <w:rFonts w:ascii="Times New Roman" w:hAnsi="Times New Roman"/>
          <w:sz w:val="16"/>
          <w:szCs w:val="16"/>
        </w:rPr>
        <w:t> Sources and remedies: If seller financing is used, decide whether the note is subordinated, secured, subject to setoff, or available for indemnification recovery. If an earnout is used, define the operating and accounting assumptions before signing.</w:t>
      </w:r>
    </w:p>
  </w:footnote>
  <w:footnote w:id="3">
    <w:p>
      <w:pPr>
        <w:spacing w:after="0" w:line="200" w:lineRule="auto"/>
      </w:pPr>
      <w:r>
        <w:rPr>
          <w:rFonts w:ascii="Times New Roman" w:hAnsi="Times New Roman"/>
          <w:sz w:val="16"/>
          <w:szCs w:val="16"/>
        </w:rPr>
        <w:footnoteRef/>
      </w:r>
      <w:r>
        <w:rPr>
          <w:rFonts w:ascii="Times New Roman" w:hAnsi="Times New Roman"/>
          <w:sz w:val="16"/>
          <w:szCs w:val="16"/>
        </w:rPr>
        <w:t> Price mechanics: Model the closing statement now. A target without an accounting hierarchy invites a post-Closing dispute over reserves, deferred revenue, inventory, aged items, and consistency with past practice.</w:t>
      </w:r>
    </w:p>
  </w:footnote>
  <w:footnote w:id="4">
    <w:p>
      <w:pPr>
        <w:spacing w:after="0" w:line="200" w:lineRule="auto"/>
      </w:pPr>
      <w:r>
        <w:rPr>
          <w:rFonts w:ascii="Times New Roman" w:hAnsi="Times New Roman"/>
          <w:sz w:val="16"/>
          <w:szCs w:val="16"/>
        </w:rPr>
        <w:footnoteRef/>
      </w:r>
      <w:r>
        <w:rPr>
          <w:rFonts w:ascii="Times New Roman" w:hAnsi="Times New Roman"/>
          <w:sz w:val="16"/>
          <w:szCs w:val="16"/>
        </w:rPr>
        <w:t> Financing risk: Do not imply that the buyer bears financing risk if financing is truly a condition. For SBA deals, confirm current lender requirements for standby debt, equity injection, guaranties, real estate, and change-of-ownership approval.</w:t>
      </w:r>
    </w:p>
  </w:footnote>
  <w:footnote w:id="5">
    <w:p>
      <w:pPr>
        <w:spacing w:after="0" w:line="200" w:lineRule="auto"/>
      </w:pPr>
      <w:r>
        <w:rPr>
          <w:rFonts w:ascii="Times New Roman" w:hAnsi="Times New Roman"/>
          <w:sz w:val="16"/>
          <w:szCs w:val="16"/>
        </w:rPr>
        <w:footnoteRef/>
      </w:r>
      <w:r>
        <w:rPr>
          <w:rFonts w:ascii="Times New Roman" w:hAnsi="Times New Roman"/>
          <w:sz w:val="16"/>
          <w:szCs w:val="16"/>
        </w:rPr>
        <w:t> Silence is not neutral: Detailed LOIs can make later protections look like retrades. Indemnification for Excluded Liabilities and related third-party claims is preserved because an exclusion alone does not create a recovery right.</w:t>
      </w:r>
    </w:p>
  </w:footnote>
  <w:footnote w:id="6">
    <w:p>
      <w:pPr>
        <w:spacing w:after="0" w:line="200" w:lineRule="auto"/>
      </w:pPr>
      <w:r>
        <w:rPr>
          <w:rFonts w:ascii="Times New Roman" w:hAnsi="Times New Roman"/>
          <w:sz w:val="16"/>
          <w:szCs w:val="16"/>
        </w:rPr>
        <w:footnoteRef/>
      </w:r>
      <w:r>
        <w:rPr>
          <w:rFonts w:ascii="Times New Roman" w:hAnsi="Times New Roman"/>
          <w:sz w:val="16"/>
          <w:szCs w:val="16"/>
        </w:rPr>
        <w:t> Conditions: Replace subjective conditions with objective deliverables where the business bargain requires certainty. Identify landlord, licensing, customer, lender, supplier, key employee, and personal-guaranty issues early.</w:t>
      </w:r>
    </w:p>
  </w:footnote>
  <w:footnote w:id="7">
    <w:p>
      <w:pPr>
        <w:spacing w:after="0" w:line="200" w:lineRule="auto"/>
      </w:pPr>
      <w:r>
        <w:rPr>
          <w:rFonts w:ascii="Times New Roman" w:hAnsi="Times New Roman"/>
          <w:sz w:val="16"/>
          <w:szCs w:val="16"/>
        </w:rPr>
        <w:footnoteRef/>
      </w:r>
      <w:r>
        <w:rPr>
          <w:rFonts w:ascii="Times New Roman" w:hAnsi="Times New Roman"/>
          <w:sz w:val="16"/>
          <w:szCs w:val="16"/>
        </w:rPr>
        <w:t> Diligence access: Control third-party contact to protect the operating business, but do not let that control prevent the buyer from verifying the revenue and relationships supporting the price.</w:t>
      </w:r>
    </w:p>
  </w:footnote>
  <w:footnote w:id="8">
    <w:p>
      <w:pPr>
        <w:spacing w:after="0" w:line="200" w:lineRule="auto"/>
      </w:pPr>
      <w:r>
        <w:rPr>
          <w:rFonts w:ascii="Times New Roman" w:hAnsi="Times New Roman"/>
          <w:sz w:val="16"/>
          <w:szCs w:val="16"/>
        </w:rPr>
        <w:footnoteRef/>
      </w:r>
      <w:r>
        <w:rPr>
          <w:rFonts w:ascii="Times New Roman" w:hAnsi="Times New Roman"/>
          <w:sz w:val="16"/>
          <w:szCs w:val="16"/>
        </w:rPr>
        <w:t> Employment and transition: Employment, ownership, and transition services are different workstreams. Define hours, authority, duration, compensation, expenses, access, and termination.</w:t>
      </w:r>
    </w:p>
  </w:footnote>
  <w:footnote w:id="9">
    <w:p>
      <w:pPr>
        <w:spacing w:after="0" w:line="200" w:lineRule="auto"/>
      </w:pPr>
      <w:r>
        <w:rPr>
          <w:rFonts w:ascii="Times New Roman" w:hAnsi="Times New Roman"/>
          <w:sz w:val="16"/>
          <w:szCs w:val="16"/>
        </w:rPr>
        <w:footnoteRef/>
      </w:r>
      <w:r>
        <w:rPr>
          <w:rFonts w:ascii="Times New Roman" w:hAnsi="Times New Roman"/>
          <w:sz w:val="16"/>
          <w:szCs w:val="16"/>
        </w:rPr>
        <w:t> Real estate: If an owner or affiliate owns the premises, the business and the property are separate bargains. Model rent, transfer taxes, lender conditions, environmental risk, and the consequence if the real-estate deal fails.</w:t>
      </w:r>
    </w:p>
  </w:footnote>
  <w:footnote w:id="10">
    <w:p>
      <w:pPr>
        <w:spacing w:after="0" w:line="200" w:lineRule="auto"/>
      </w:pPr>
      <w:r>
        <w:rPr>
          <w:rFonts w:ascii="Times New Roman" w:hAnsi="Times New Roman"/>
          <w:sz w:val="16"/>
          <w:szCs w:val="16"/>
        </w:rPr>
        <w:footnoteRef/>
      </w:r>
      <w:r>
        <w:rPr>
          <w:rFonts w:ascii="Times New Roman" w:hAnsi="Times New Roman"/>
          <w:sz w:val="16"/>
          <w:szCs w:val="16"/>
        </w:rPr>
        <w:t> Goodwill protection: Identify each person who must be restricted. Enforceability depends on governing law, facts, consideration, scope, duration, territory, and sale-of-business rules.</w:t>
      </w:r>
    </w:p>
  </w:footnote>
  <w:footnote w:id="11">
    <w:p>
      <w:pPr>
        <w:spacing w:after="0" w:line="200" w:lineRule="auto"/>
      </w:pPr>
      <w:r>
        <w:rPr>
          <w:rFonts w:ascii="Times New Roman" w:hAnsi="Times New Roman"/>
          <w:sz w:val="16"/>
          <w:szCs w:val="16"/>
        </w:rPr>
        <w:footnoteRef/>
      </w:r>
      <w:r>
        <w:rPr>
          <w:rFonts w:ascii="Times New Roman" w:hAnsi="Times New Roman"/>
          <w:sz w:val="16"/>
          <w:szCs w:val="16"/>
        </w:rPr>
        <w:t> Interim leakage: Use materiality and dollar thresholds. Review distributions, bonuses, debt, capital expenditures, contract changes, and working-capital movements against the valuation and lender covenants.</w:t>
      </w:r>
    </w:p>
  </w:footnote>
  <w:footnote w:id="12">
    <w:p>
      <w:pPr>
        <w:spacing w:after="0" w:line="200" w:lineRule="auto"/>
      </w:pPr>
      <w:r>
        <w:rPr>
          <w:rFonts w:ascii="Times New Roman" w:hAnsi="Times New Roman"/>
          <w:sz w:val="16"/>
          <w:szCs w:val="16"/>
        </w:rPr>
        <w:footnoteRef/>
      </w:r>
      <w:r>
        <w:rPr>
          <w:rFonts w:ascii="Times New Roman" w:hAnsi="Times New Roman"/>
          <w:sz w:val="16"/>
          <w:szCs w:val="16"/>
        </w:rPr>
        <w:t> Exclusivity: Exclusivity removes the seller from the market while the buyer spends money. Tie extensions to objective progress and decide whether a breach produces injunctive relief, expense reimbursement, or termination.</w:t>
      </w:r>
    </w:p>
  </w:footnote>
  <w:footnote w:id="13">
    <w:p>
      <w:pPr>
        <w:spacing w:after="0" w:line="200" w:lineRule="auto"/>
      </w:pPr>
      <w:r>
        <w:rPr>
          <w:rFonts w:ascii="Times New Roman" w:hAnsi="Times New Roman"/>
          <w:sz w:val="16"/>
          <w:szCs w:val="16"/>
        </w:rPr>
        <w:footnoteRef/>
      </w:r>
      <w:r>
        <w:rPr>
          <w:rFonts w:ascii="Times New Roman" w:hAnsi="Times New Roman"/>
          <w:sz w:val="16"/>
          <w:szCs w:val="16"/>
        </w:rPr>
        <w:t> Binding boundary: Confirm the exact binding section numbers, termination mechanics, survival, governing law, forum, electronic-signature rules, and any fee-shifting or equitable-relief provisions before circulation.</w:t>
      </w:r>
    </w:p>
  </w:footnote>
</w:footnote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Times New Roman" w:hAnsi="Times New Roman"/>
        <w:b/>
        <w:i w:val="0"/>
        <w:color w:val="666666"/>
        <w:sz w:val="15"/>
      </w:rPr>
      <w:t>TOLBERT LEGAL  |  ANNOTATED BUYER FORM</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40" w:line="259" w:lineRule="auto"/>
    </w:pPr>
    <w:rPr>
      <w:rFonts w:ascii="Times New Roman" w:hAnsi="Times New Roman"/>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Tolbert Legal Annotated Asset Purchase Letter of Intent</dc:title>
  <dc:subject>Circulation-style buyer LOI with counsel annotations</dc:subject>
  <dc:creator>Tolbert Legal</dc:creator>
  <cp:keywords/>
  <dc:description>generated by python-docx</dc:description>
  <cp:lastModifiedBy/>
  <cp:revision>1</cp:revision>
  <dcterms:created xsi:type="dcterms:W3CDTF">2013-12-23T23:15:00Z</dcterms:created>
  <dcterms:modified xsi:type="dcterms:W3CDTF">2013-12-23T23:15:00Z</dcterms:modified>
  <cp:category/>
</cp:coreProperties>
</file>